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146</w:t>
      </w:r>
    </w:p>
    <w:p>
      <w:r>
        <w:t>Bundesgericht (BGE), 1978-10-04, DE</w:t>
      </w:r>
    </w:p>
    <w:p>
      <w:r>
        <w:rPr>
          <w:b/>
        </w:rPr>
        <w:t xml:space="preserve">Quelle: </w:t>
      </w:r>
      <w:r>
        <w:t>https://mcp.opencaselaw.ch/entscheid/bge_104 V 146</w:t>
      </w:r>
    </w:p>
    <w:p>
      <w:r>
        <w:t>FR: ATF 104 V 146</w:t>
      </w:r>
    </w:p>
    <w:p>
      <w:r>
        <w:t>IT: DTF 104 V 146</w:t>
      </w:r>
    </w:p>
    <w:p>
      <w:pPr>
        <w:pStyle w:val="Heading2"/>
      </w:pPr>
      <w:r>
        <w:t>Regeste</w:t>
      </w:r>
    </w:p>
    <w:p>
      <w:r>
        <w:t>Regeste Art. 41 IVG. Die Bestimmungen über die Rentenrevision gemäss Art. 88a IVV finden auch im Falle von Schubkrankheiten Anwendung.</w:t>
      </w:r>
    </w:p>
    <w:p>
      <w:pPr>
        <w:pStyle w:val="Heading2"/>
      </w:pPr>
      <w:r>
        <w:t>Erwägungen</w:t>
      </w:r>
    </w:p>
    <w:p>
      <w:r>
        <w:rPr>
          <w:b/>
        </w:rPr>
        <w:t>E. 1</w:t>
      </w:r>
    </w:p>
    <w:p>
      <w:r>
        <w:t>... Laufende Renten sind für die Zukunft zu erhöhen, herabzusetzen oder aufzuheben, wenn sich der Invaliditätsgrad in einer für den Anspruch erheblichen Weise ändert ( Art. 41 IVG ). Gemäss dem ab 1. Januar 1977 gültigen Art. 88a IVV ist die anspruchsbeeinflussende Änderung bei einer Verbesserung der Erwerbsfähigkeit von dem Zeitpunkt an zu berücksichtigen, in dem angenommen werden kann, dass sie voraussichtlich längere Zeit dauern wird; sie ist in jedem Fall zu berücksichtigen, nachdem sie ohne wesentliche Unterbrechung 3 Monate angedauert hat und voraussichtlich weiterhin andauern wird (Abs. 1). Bei einer Verschlechterung der Erwerbsfähigkeit ist die Änderung zu berücksichtigen, sobald sie ohne wesentliche Unterbrechung 3 Monate angedauert hat; Art. 29bis IVV ist jedoch sinngemäss anwendbar (Abs. 2). Nach dieser Bestimmung werden bei der Berechnung der Wartezeit gemäss Art. 29 Abs. 1 IVG früher zurückgelegte Zeiten angerechnet, wenn der Invaliditätsgrad innert 3 Jahren nach Aufhebung der Rente wegen einer auf dasselbe Leiden zurückzuführenden Arbeitsunfähigkeit erneut rentenbegründendes Ausmass erreicht. BGE 104 V 146 S. 147</w:t>
      </w:r>
    </w:p>
    <w:p>
      <w:r>
        <w:rPr>
          <w:b/>
        </w:rPr>
        <w:t>E. 2</w:t>
      </w:r>
    </w:p>
    <w:p>
      <w:r>
        <w:t>Die Regelung gemäss Art. 88a der Verordnungsnovelle vom 29. November 1976 hält sich im Rahmen der gesetzlichen Ordnung und ist geeignet, eine rechtsgleiche und den jeweiligen tatsächlichen Verhältnissen entsprechende Festsetzung der Renten zu gewährleisten. Es stellt sich indessen die Frage, ob sie auch im Falle von Schubkrankheiten Anwendung finden kann. Nach der rechtlichen Praxis ( BGE 99 V 98 ) ist bei diesen Leiden, bei welchen sich Perioden der Arbeitsfähigkeit und solche der vollen oder teilweisen Arbeitsunfähigkeit oft kurzfristig ablösen, für die revisionsweise Invaliditätsbemessung nach Variante II des Art. 29 Abs. 1 IVG auf die Beeinträchtigung der Arbeitsfähigkeit innerhalb eines längeren Zeitabschnittes (2 Jahre) abzustellen. Es soll damit vermieden werden, dass die Rente einzig deshalb herabgesetzt oder aufgehoben werden muss, weil die auf längere Sicht erhebliche Beeinträchtigung der Erwerbsfähigkeit von kurzen Perioden gesteigerter Arbeits- bzw. Erwerbsfähigkeit unterbrochen wird; der Versicherte könnte alsdann dauernd vom Genuss einer Rente ausgeschlossen sein, wenn die einzelnen, die Arbeitsfähigkeit beeinträchtigenden Krankheitsschübe regelmässig weniger als 360 Tage andauern. Im Rahmen der neuen Regelung besteht zwar weiterhin (sogar in zunehmendem Masse) die Möglichkeit, dass die Rente wegen kurzfristiger Verbesserungen der Arbeits- bzw. Erwerbsfähigkeit herabgesetzt oder aufgehoben werden muss. Nach Art. 88a Abs. 2 und Art. 29bis IVV kann die Rente jedoch ohne Verzug wieder zugesprochen werden, sobald die Arbeitsunfähigkeit erneut rentenbegründendes Ausmass annimmt. Der Auffassung des Bundesamtes für Sozialversicherung, wonach die Rente auf Grund der neuen Verordnungsbestimmung auch bei Schubkrankheiten herabgesetzt oder aufgehoben werden muss, falls die Verbesserung der Arbeits- bzw. Erwerbsfähigkeit ohne wesentlichen Unterbruch 3 Monate angedauert hat, kann daher beigepflichtet werden. Mit Bezug auf die schubweise verlaufende Schizophrenie lässt sich dies umso eher rechtfertigen, als praxisgemäss Variante I von Art. 29 Abs. 1 IVG zur Anwendung gelangt, wenn angenommen werden kann, die durchschnittliche Beeinträchtigung der Erwerbsfähigkeit werde sich über längere Zeit voraussichtlich nicht mehr wesentlich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